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0" w:before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-160" y="0"/>
                <wp:lineTo x="-160" y="20759"/>
                <wp:lineTo x="20808" y="20759"/>
                <wp:lineTo x="20808" y="0"/>
                <wp:lineTo x="-16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3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4000000">
      <w:pPr>
        <w:pStyle w:val="Style_2"/>
        <w:spacing w:after="0" w:before="0" w:line="240" w:lineRule="auto"/>
        <w:ind/>
        <w:rPr>
          <w:rFonts w:ascii="Times New Roman" w:hAnsi="Times New Roman"/>
          <w:b w:val="1"/>
          <w:sz w:val="32"/>
        </w:rPr>
      </w:pPr>
    </w:p>
    <w:p w14:paraId="05000000">
      <w:pPr>
        <w:pStyle w:val="Style_2"/>
        <w:spacing w:after="0" w:before="0" w:line="240" w:lineRule="auto"/>
        <w:ind w:firstLine="0" w:left="0" w:right="-625"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pStyle w:val="Style_2"/>
        <w:spacing w:after="0" w:before="0" w:line="240" w:lineRule="auto"/>
        <w:ind w:firstLine="0" w:left="0" w:right="-625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МИНИСТЕРСТВО ПРИРОДНЫХ РЕСУРСОВ И ЭКОЛОГИИ</w:t>
      </w:r>
    </w:p>
    <w:p w14:paraId="07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8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09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A000000">
      <w:pPr>
        <w:pStyle w:val="Style_2"/>
        <w:spacing w:after="0" w:before="0" w:line="240" w:lineRule="auto"/>
        <w:ind w:firstLine="709" w:left="0"/>
        <w:jc w:val="center"/>
        <w:rPr>
          <w:rFonts w:ascii="Times New Roman" w:hAnsi="Times New Roman"/>
          <w:sz w:val="24"/>
        </w:rPr>
      </w:pPr>
    </w:p>
    <w:p w14:paraId="0B000000">
      <w:pPr>
        <w:pStyle w:val="Style_2"/>
        <w:spacing w:after="0" w:before="0" w:line="276" w:lineRule="auto"/>
        <w:ind/>
        <w:jc w:val="both"/>
        <w:rPr>
          <w:rFonts w:ascii="Times New Roman" w:hAnsi="Times New Roman"/>
          <w:sz w:val="20"/>
        </w:rPr>
      </w:pPr>
    </w:p>
    <w:tbl>
      <w:tblPr>
        <w:tblStyle w:val="Style_3"/>
        <w:tblInd w:type="dxa" w:w="-14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983"/>
        <w:gridCol w:w="427"/>
        <w:gridCol w:w="1985"/>
      </w:tblGrid>
      <w:tr>
        <w:tc>
          <w:tcPr>
            <w:tcW w:type="dxa" w:w="1983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2"/>
              <w:widowControl w:val="0"/>
              <w:spacing w:after="0" w:before="0" w:line="276" w:lineRule="auto"/>
              <w:ind w:firstLine="0" w:left="0" w:right="34"/>
              <w:jc w:val="center"/>
              <w:rPr>
                <w:rFonts w:ascii="Times New Roman" w:hAnsi="Times New Roman"/>
                <w:sz w:val="20"/>
              </w:rPr>
            </w:pPr>
            <w:bookmarkStart w:id="1" w:name="REGDATESTAMP"/>
            <w:r>
              <w:rPr>
                <w:rFonts w:ascii="Times New Roman" w:hAnsi="Times New Roman"/>
                <w:sz w:val="28"/>
              </w:rPr>
              <w:t>[</w:t>
            </w: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18"/>
              </w:rPr>
              <w:t>ата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регистрации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1"/>
          </w:p>
        </w:tc>
        <w:tc>
          <w:tcPr>
            <w:tcW w:type="dxa" w:w="4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2"/>
              <w:widowControl w:val="0"/>
              <w:spacing w:after="0" w:before="0" w:line="276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985"/>
            <w:tcBorders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0"/>
              <w:spacing w:after="0" w:before="0" w:line="276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bookmarkStart w:id="2" w:name="REGNUMSTAMP"/>
            <w:r>
              <w:rPr>
                <w:rFonts w:ascii="Times New Roman" w:hAnsi="Times New Roman"/>
                <w:sz w:val="28"/>
              </w:rPr>
              <w:t>[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18"/>
              </w:rPr>
              <w:t>омер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документа</w:t>
            </w:r>
            <w:r>
              <w:rPr>
                <w:rFonts w:ascii="Times New Roman" w:hAnsi="Times New Roman"/>
                <w:sz w:val="28"/>
              </w:rPr>
              <w:t>]</w:t>
            </w:r>
            <w:bookmarkEnd w:id="2"/>
          </w:p>
        </w:tc>
      </w:tr>
    </w:tbl>
    <w:p w14:paraId="0F000000">
      <w:pPr>
        <w:pStyle w:val="Style_2"/>
        <w:spacing w:after="0" w:before="0" w:line="276" w:lineRule="auto"/>
        <w:ind w:firstLine="0" w:left="0"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14:paraId="10000000">
      <w:pPr>
        <w:pStyle w:val="Style_2"/>
        <w:spacing w:after="0" w:before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4"/>
        <w:tblInd w:type="dxa" w:w="-14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349"/>
      </w:tblGrid>
      <w:tr>
        <w:tc>
          <w:tcPr>
            <w:tcW w:type="dxa" w:w="1034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 проведении электронного аукциона на право пользования участками недр местного значения «Карьер-</w:t>
            </w:r>
            <w:r>
              <w:rPr>
                <w:rFonts w:ascii="Times New Roman" w:hAnsi="Times New Roman"/>
                <w:b w:val="1"/>
                <w:sz w:val="28"/>
              </w:rPr>
              <w:t>1</w:t>
            </w:r>
            <w:r>
              <w:rPr>
                <w:rFonts w:ascii="Times New Roman" w:hAnsi="Times New Roman"/>
                <w:b w:val="1"/>
                <w:sz w:val="28"/>
              </w:rPr>
              <w:t>», «</w:t>
            </w:r>
            <w:r>
              <w:rPr>
                <w:rFonts w:ascii="Times New Roman" w:hAnsi="Times New Roman"/>
                <w:b w:val="1"/>
                <w:sz w:val="28"/>
              </w:rPr>
              <w:t xml:space="preserve">Карьер-3» </w:t>
            </w:r>
            <w:r>
              <w:rPr>
                <w:rFonts w:ascii="Times New Roman" w:hAnsi="Times New Roman"/>
                <w:b w:val="1"/>
                <w:sz w:val="28"/>
              </w:rPr>
              <w:t>и «Карьер-</w:t>
            </w:r>
            <w:r>
              <w:rPr>
                <w:rFonts w:ascii="Times New Roman" w:hAnsi="Times New Roman"/>
                <w:b w:val="1"/>
                <w:sz w:val="28"/>
              </w:rPr>
              <w:t>4</w:t>
            </w:r>
            <w:r>
              <w:rPr>
                <w:rFonts w:ascii="Times New Roman" w:hAnsi="Times New Roman"/>
                <w:b w:val="1"/>
                <w:sz w:val="28"/>
              </w:rPr>
              <w:t xml:space="preserve">» с целью геологического изучения недр, разведки и добычи </w:t>
            </w:r>
            <w:r>
              <w:rPr>
                <w:rFonts w:ascii="Times New Roman" w:hAnsi="Times New Roman"/>
                <w:b w:val="1"/>
                <w:sz w:val="28"/>
              </w:rPr>
              <w:t xml:space="preserve">вулканических </w:t>
            </w:r>
          </w:p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пород на строительный камень</w:t>
            </w:r>
          </w:p>
        </w:tc>
      </w:tr>
    </w:tbl>
    <w:p w14:paraId="13000000">
      <w:pPr>
        <w:pStyle w:val="Style_2"/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pStyle w:val="Style_2"/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pStyle w:val="Style_2"/>
        <w:spacing w:after="0" w:before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реализации статьи 13.1 Закона Российской Федерации от 21.02.1992</w:t>
      </w:r>
      <w:r>
        <w:br/>
      </w:r>
      <w:r>
        <w:rPr>
          <w:rFonts w:ascii="Times New Roman" w:hAnsi="Times New Roman"/>
          <w:sz w:val="28"/>
        </w:rPr>
        <w:t xml:space="preserve">№ 2395-1 «О недрах», пункта 14 части 3 статьи 3 Закона Камчатского края </w:t>
      </w:r>
      <w:r>
        <w:br/>
      </w:r>
      <w:r>
        <w:rPr>
          <w:rFonts w:ascii="Times New Roman" w:hAnsi="Times New Roman"/>
          <w:sz w:val="28"/>
        </w:rPr>
        <w:t xml:space="preserve">от 19.09.2008 № 127 «Об отдельных вопросах в сфере регулирования отношений недропользования в Камчатском крае», в соответствии с согласованным Дополнением № 5 к Перечню участков недр местного значения по Камчатскому краю на 2023 год (письмо отдела геологии и лицензирования Департамента </w:t>
      </w:r>
      <w:r>
        <w:br/>
      </w:r>
      <w:r>
        <w:rPr>
          <w:rFonts w:ascii="Times New Roman" w:hAnsi="Times New Roman"/>
          <w:sz w:val="28"/>
        </w:rPr>
        <w:t>по недропользованию по Дальневосточному федеральному округу по Камчатскому краю от 13.11.2023 № 08-31/679)</w:t>
      </w:r>
    </w:p>
    <w:p w14:paraId="16000000">
      <w:pPr>
        <w:pStyle w:val="Style_2"/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pStyle w:val="Style_2"/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8000000">
      <w:pPr>
        <w:pStyle w:val="Style_2"/>
        <w:spacing w:after="0" w:before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2"/>
        <w:widowControl w:val="0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Организовать проведение 07</w:t>
      </w:r>
      <w:r>
        <w:rPr>
          <w:rFonts w:ascii="Times New Roman" w:hAnsi="Times New Roman"/>
          <w:color w:val="000000"/>
          <w:sz w:val="28"/>
        </w:rPr>
        <w:t xml:space="preserve"> мая 2024 года в 09:00 (время камчатское) электронного аукциона на право пользования участками недр местного значения «Карьер-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», «</w:t>
      </w:r>
      <w:r>
        <w:rPr>
          <w:rFonts w:ascii="Times New Roman" w:hAnsi="Times New Roman"/>
          <w:color w:val="000000"/>
          <w:sz w:val="28"/>
        </w:rPr>
        <w:t>Карьер-3»</w:t>
      </w:r>
      <w:r>
        <w:rPr>
          <w:rFonts w:ascii="Times New Roman" w:hAnsi="Times New Roman"/>
          <w:color w:val="000000"/>
          <w:sz w:val="28"/>
        </w:rPr>
        <w:t xml:space="preserve"> и «Карьер-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» с целью геол</w:t>
      </w:r>
      <w:r>
        <w:rPr>
          <w:rFonts w:ascii="Times New Roman" w:hAnsi="Times New Roman"/>
          <w:color w:val="000000"/>
          <w:sz w:val="28"/>
        </w:rPr>
        <w:t xml:space="preserve">огического изучения недр, разведки и добычи </w:t>
      </w:r>
      <w:r>
        <w:rPr>
          <w:rFonts w:ascii="Times New Roman" w:hAnsi="Times New Roman"/>
          <w:color w:val="000000"/>
          <w:sz w:val="28"/>
        </w:rPr>
        <w:t xml:space="preserve">вулканических </w:t>
      </w:r>
      <w:r>
        <w:rPr>
          <w:rFonts w:ascii="Times New Roman" w:hAnsi="Times New Roman"/>
          <w:color w:val="000000"/>
          <w:sz w:val="28"/>
        </w:rPr>
        <w:t xml:space="preserve">пород </w:t>
      </w:r>
      <w:r>
        <w:rPr>
          <w:rFonts w:ascii="Times New Roman" w:hAnsi="Times New Roman"/>
          <w:color w:val="000000"/>
          <w:sz w:val="28"/>
        </w:rPr>
        <w:t>на строительный камень</w:t>
      </w:r>
      <w:r>
        <w:rPr>
          <w:rFonts w:ascii="Times New Roman" w:hAnsi="Times New Roman"/>
          <w:color w:val="000000"/>
          <w:sz w:val="28"/>
        </w:rPr>
        <w:t xml:space="preserve"> (далее – аукцион), расположенными на территории Олюторского муниципального района Камчатского края. </w:t>
      </w:r>
    </w:p>
    <w:p w14:paraId="1A000000">
      <w:pPr>
        <w:pStyle w:val="Style_2"/>
        <w:widowControl w:val="0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Утвердить состав аукционной комиссии аукциона согласно приложению 1.</w:t>
      </w:r>
    </w:p>
    <w:p w14:paraId="1B000000">
      <w:pPr>
        <w:pStyle w:val="Style_2"/>
        <w:widowControl w:val="0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Утвердить Порядок и условия проведения аукциона согласно </w:t>
      </w:r>
      <w:r>
        <w:br/>
      </w:r>
      <w:r>
        <w:rPr>
          <w:rFonts w:ascii="Times New Roman" w:hAnsi="Times New Roman"/>
          <w:color w:val="000000"/>
          <w:sz w:val="28"/>
        </w:rPr>
        <w:t>приложению 2.</w:t>
      </w:r>
    </w:p>
    <w:p w14:paraId="1C000000">
      <w:pPr>
        <w:pStyle w:val="Style_2"/>
        <w:widowControl w:val="0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Утвердить текст объявления о проведении аукциона согласно </w:t>
      </w:r>
      <w:r>
        <w:br/>
      </w:r>
      <w:r>
        <w:rPr>
          <w:rFonts w:ascii="Times New Roman" w:hAnsi="Times New Roman"/>
          <w:color w:val="000000"/>
          <w:sz w:val="28"/>
        </w:rPr>
        <w:t>приложению 3.</w:t>
      </w:r>
    </w:p>
    <w:p w14:paraId="1D000000">
      <w:pPr>
        <w:pStyle w:val="Style_2"/>
        <w:widowControl w:val="0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Разместить объявление о проведении электронного аукциона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rFonts w:ascii="Times New Roman" w:hAnsi="Times New Roman"/>
          <w:color w:val="000000"/>
          <w:sz w:val="28"/>
          <w:u w:val="single"/>
        </w:rPr>
        <w:fldChar w:fldCharType="begin"/>
      </w:r>
      <w:r>
        <w:rPr>
          <w:rFonts w:ascii="Times New Roman" w:hAnsi="Times New Roman"/>
          <w:color w:val="000000"/>
          <w:sz w:val="28"/>
          <w:u w:val="single"/>
        </w:rPr>
        <w:instrText>HYPERLINK "http://www.torgi.gov.ru/"</w:instrText>
      </w:r>
      <w:r>
        <w:rPr>
          <w:rFonts w:ascii="Times New Roman" w:hAnsi="Times New Roman"/>
          <w:color w:val="000000"/>
          <w:sz w:val="28"/>
          <w:u w:val="single"/>
        </w:rPr>
        <w:fldChar w:fldCharType="separate"/>
      </w:r>
      <w:r>
        <w:rPr>
          <w:rFonts w:ascii="Times New Roman" w:hAnsi="Times New Roman"/>
          <w:color w:val="000000"/>
          <w:sz w:val="28"/>
          <w:u w:val="single"/>
        </w:rPr>
        <w:t>www.</w:t>
      </w:r>
      <w:r>
        <w:rPr>
          <w:rFonts w:ascii="Times New Roman" w:hAnsi="Times New Roman"/>
          <w:color w:val="000000"/>
          <w:sz w:val="28"/>
          <w:u w:val="single"/>
        </w:rPr>
        <w:t>torgi</w:t>
      </w:r>
      <w:r>
        <w:rPr>
          <w:rFonts w:ascii="Times New Roman" w:hAnsi="Times New Roman"/>
          <w:color w:val="000000"/>
          <w:sz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gov</w:t>
      </w:r>
      <w:r>
        <w:rPr>
          <w:rFonts w:ascii="Times New Roman" w:hAnsi="Times New Roman"/>
          <w:color w:val="000000"/>
          <w:sz w:val="28"/>
          <w:u w:val="single"/>
        </w:rPr>
        <w:t>.ru</w:t>
      </w:r>
      <w:r>
        <w:rPr>
          <w:rFonts w:ascii="Times New Roman" w:hAnsi="Times New Roman"/>
          <w:color w:val="000000"/>
          <w:sz w:val="28"/>
          <w:u w:val="single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одновременно с размещением на сайте электронно</w:t>
      </w:r>
      <w:r>
        <w:rPr>
          <w:rFonts w:ascii="Times New Roman" w:hAnsi="Times New Roman"/>
          <w:color w:val="000000"/>
          <w:sz w:val="28"/>
        </w:rPr>
        <w:t xml:space="preserve">й торговой площадки Газпромбанка (ЭТП ГПБ) в информационно-телекоммуникационной сети «Интернет» </w:t>
      </w:r>
      <w:r>
        <w:rPr>
          <w:rFonts w:ascii="Times New Roman" w:hAnsi="Times New Roman"/>
          <w:color w:val="000000"/>
          <w:sz w:val="28"/>
          <w:u w:val="single"/>
        </w:rPr>
        <w:fldChar w:fldCharType="begin"/>
      </w:r>
      <w:r>
        <w:rPr>
          <w:rFonts w:ascii="Times New Roman" w:hAnsi="Times New Roman"/>
          <w:color w:val="000000"/>
          <w:sz w:val="28"/>
          <w:u w:val="single"/>
        </w:rPr>
        <w:instrText>HYPERLINK "http://www.etpgpb.ru/"</w:instrText>
      </w:r>
      <w:r>
        <w:rPr>
          <w:rFonts w:ascii="Times New Roman" w:hAnsi="Times New Roman"/>
          <w:color w:val="000000"/>
          <w:sz w:val="28"/>
          <w:u w:val="single"/>
        </w:rPr>
        <w:fldChar w:fldCharType="separate"/>
      </w:r>
      <w:r>
        <w:rPr>
          <w:rFonts w:ascii="Times New Roman" w:hAnsi="Times New Roman"/>
          <w:color w:val="000000"/>
          <w:sz w:val="28"/>
          <w:u w:val="single"/>
        </w:rPr>
        <w:t>www</w:t>
      </w:r>
      <w:r>
        <w:rPr>
          <w:rFonts w:ascii="Times New Roman" w:hAnsi="Times New Roman"/>
          <w:color w:val="000000"/>
          <w:sz w:val="28"/>
          <w:u w:val="single"/>
        </w:rPr>
        <w:t>.etpgpb.ru</w:t>
      </w:r>
      <w:r>
        <w:rPr>
          <w:rFonts w:ascii="Times New Roman" w:hAnsi="Times New Roman"/>
          <w:color w:val="000000"/>
          <w:sz w:val="28"/>
          <w:u w:val="single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, а также на официальном сайте Правительства Камчатского края на странице Министерства природных ресурсов и экологии Камчатского края </w:t>
      </w:r>
      <w:r>
        <w:rPr>
          <w:rFonts w:ascii="Times New Roman" w:hAnsi="Times New Roman"/>
          <w:color w:val="000000"/>
          <w:sz w:val="28"/>
          <w:u w:val="single"/>
        </w:rPr>
        <w:fldChar w:fldCharType="begin"/>
      </w:r>
      <w:r>
        <w:rPr>
          <w:rFonts w:ascii="Times New Roman" w:hAnsi="Times New Roman"/>
          <w:color w:val="000000"/>
          <w:sz w:val="28"/>
          <w:u w:val="single"/>
        </w:rPr>
        <w:instrText>HYPERLINK "http://www.kamgov.ru/"</w:instrText>
      </w:r>
      <w:r>
        <w:rPr>
          <w:rFonts w:ascii="Times New Roman" w:hAnsi="Times New Roman"/>
          <w:color w:val="000000"/>
          <w:sz w:val="28"/>
          <w:u w:val="single"/>
        </w:rPr>
        <w:fldChar w:fldCharType="separate"/>
      </w:r>
      <w:r>
        <w:rPr>
          <w:rFonts w:ascii="Times New Roman" w:hAnsi="Times New Roman"/>
          <w:color w:val="000000"/>
          <w:sz w:val="28"/>
          <w:u w:val="single"/>
        </w:rPr>
        <w:t>www.kamgov.ru</w:t>
      </w:r>
      <w:r>
        <w:rPr>
          <w:rFonts w:ascii="Times New Roman" w:hAnsi="Times New Roman"/>
          <w:color w:val="000000"/>
          <w:sz w:val="28"/>
          <w:u w:val="single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не менее чем за 10 дней до дня проведения указанного аукциона </w:t>
      </w:r>
      <w:r>
        <w:rPr>
          <w:rFonts w:ascii="Times New Roman" w:hAnsi="Times New Roman"/>
          <w:color w:val="000000"/>
          <w:sz w:val="28"/>
        </w:rPr>
        <w:t>(26.04.2024</w:t>
      </w:r>
      <w:r>
        <w:rPr>
          <w:rFonts w:ascii="Times New Roman" w:hAnsi="Times New Roman"/>
          <w:color w:val="000000"/>
          <w:sz w:val="28"/>
        </w:rPr>
        <w:t>)</w:t>
      </w:r>
      <w:bookmarkStart w:id="3" w:name="_GoBack"/>
      <w:bookmarkEnd w:id="3"/>
      <w:r>
        <w:rPr>
          <w:rFonts w:ascii="Times New Roman" w:hAnsi="Times New Roman"/>
          <w:color w:val="000000"/>
          <w:sz w:val="28"/>
        </w:rPr>
        <w:t>.</w:t>
      </w:r>
    </w:p>
    <w:p w14:paraId="1E000000">
      <w:pPr>
        <w:pStyle w:val="Style_2"/>
        <w:spacing w:after="0" w:before="0" w:line="276" w:lineRule="auto"/>
        <w:ind w:firstLine="709" w:left="0"/>
        <w:jc w:val="both"/>
        <w:rPr>
          <w:rFonts w:ascii="Times New Roman" w:hAnsi="Times New Roman"/>
          <w:color w:val="C9211E"/>
          <w:sz w:val="28"/>
        </w:rPr>
      </w:pPr>
    </w:p>
    <w:p w14:paraId="1F000000">
      <w:pPr>
        <w:pStyle w:val="Style_2"/>
        <w:spacing w:after="0" w:before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2"/>
        <w:spacing w:after="0" w:before="0" w:line="276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257"/>
        <w:gridCol w:w="3547"/>
        <w:gridCol w:w="3404"/>
      </w:tblGrid>
      <w:tr>
        <w:trPr>
          <w:trHeight w:hRule="atLeast" w:val="1335"/>
        </w:trPr>
        <w:tc>
          <w:tcPr>
            <w:tcW w:type="dxa" w:w="3257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pStyle w:val="Style_2"/>
              <w:widowControl w:val="0"/>
              <w:spacing w:after="0" w:before="0" w:line="240" w:lineRule="auto"/>
              <w:ind w:hanging="4" w:left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type="dxa" w:w="3547"/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-116"/>
              <w:rPr>
                <w:rFonts w:ascii="Times New Roman" w:hAnsi="Times New Roman"/>
                <w:color w:val="D9D9D9"/>
                <w:sz w:val="28"/>
              </w:rPr>
            </w:pPr>
            <w:bookmarkStart w:id="4" w:name="SIGNERSTAMP1"/>
            <w:r>
              <w:rPr>
                <w:rFonts w:ascii="Times New Roman" w:hAnsi="Times New Roman"/>
                <w:color w:val="D9D9D9"/>
                <w:sz w:val="28"/>
              </w:rPr>
              <w:t>[горизонтальный штамп подписи 1]</w:t>
            </w:r>
            <w:bookmarkEnd w:id="4"/>
          </w:p>
          <w:p w14:paraId="23000000">
            <w:pPr>
              <w:pStyle w:val="Style_2"/>
              <w:widowControl w:val="0"/>
              <w:spacing w:after="0" w:before="0" w:line="240" w:lineRule="auto"/>
              <w:ind w:firstLine="709" w:left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40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Кумарьков</w:t>
            </w:r>
          </w:p>
        </w:tc>
      </w:tr>
    </w:tbl>
    <w:p w14:paraId="25000000">
      <w:pPr>
        <w:pStyle w:val="Style_2"/>
        <w:tabs>
          <w:tab w:leader="none" w:pos="708" w:val="clear"/>
          <w:tab w:leader="none" w:pos="5103" w:val="left"/>
        </w:tabs>
        <w:spacing w:after="0" w:before="0" w:line="240" w:lineRule="auto"/>
        <w:ind w:firstLine="4962" w:left="0"/>
        <w:jc w:val="both"/>
        <w:rPr>
          <w:rFonts w:ascii="Times New Roman" w:hAnsi="Times New Roman"/>
          <w:color w:val="000000"/>
          <w:sz w:val="28"/>
        </w:rPr>
      </w:pPr>
    </w:p>
    <w:sectPr>
      <w:headerReference r:id="rId1" w:type="default"/>
      <w:type w:val="nextPage"/>
      <w:pgSz w:h="16848" w:orient="portrait" w:w="11908"/>
      <w:pgMar w:bottom="1134" w:footer="0" w:gutter="0" w:header="1134" w:left="1134" w:right="567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429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214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86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58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30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502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74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46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18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z w:val="22"/>
    </w:rPr>
  </w:style>
  <w:style w:styleId="Style_5" w:type="paragraph">
    <w:name w:val="Footer"/>
    <w:basedOn w:val="Style_2"/>
    <w:link w:val="Style_5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  <w:rPr>
      <w:rFonts w:ascii="Times New Roman" w:hAnsi="Times New Roman"/>
      <w:sz w:val="28"/>
    </w:rPr>
  </w:style>
  <w:style w:styleId="Style_5_ch" w:type="character">
    <w:name w:val="Footer"/>
    <w:basedOn w:val="Style_2_ch"/>
    <w:link w:val="Style_5"/>
    <w:rPr>
      <w:rFonts w:ascii="Times New Roman" w:hAnsi="Times New Roman"/>
      <w:sz w:val="28"/>
    </w:rPr>
  </w:style>
  <w:style w:styleId="Style_6" w:type="paragraph">
    <w:name w:val="toc 2"/>
    <w:next w:val="Style_2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7" w:type="paragraph">
    <w:name w:val="toc 4"/>
    <w:next w:val="Style_2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2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Колонтитул"/>
    <w:basedOn w:val="Style_2"/>
    <w:link w:val="Style_11_ch"/>
  </w:style>
  <w:style w:styleId="Style_11_ch" w:type="character">
    <w:name w:val="Колонтитул"/>
    <w:basedOn w:val="Style_2_ch"/>
    <w:link w:val="Style_11"/>
  </w:style>
  <w:style w:styleId="Style_12" w:type="paragraph">
    <w:name w:val="Верхний колонтитул Знак"/>
    <w:basedOn w:val="Style_8"/>
    <w:link w:val="Style_12_ch"/>
  </w:style>
  <w:style w:styleId="Style_12_ch" w:type="character">
    <w:name w:val="Верхний колонтитул Знак"/>
    <w:basedOn w:val="Style_8_ch"/>
    <w:link w:val="Style_12"/>
  </w:style>
  <w:style w:styleId="Style_13" w:type="paragraph">
    <w:name w:val="Balloon Text"/>
    <w:basedOn w:val="Style_2"/>
    <w:link w:val="Style_13_ch"/>
    <w:pPr>
      <w:spacing w:after="0" w:before="0" w:line="240" w:lineRule="auto"/>
      <w:ind/>
    </w:pPr>
    <w:rPr>
      <w:rFonts w:ascii="Segoe UI" w:hAnsi="Segoe UI"/>
      <w:sz w:val="18"/>
    </w:rPr>
  </w:style>
  <w:style w:styleId="Style_13_ch" w:type="character">
    <w:name w:val="Balloon Text"/>
    <w:basedOn w:val="Style_2_ch"/>
    <w:link w:val="Style_13"/>
    <w:rPr>
      <w:rFonts w:ascii="Segoe UI" w:hAnsi="Segoe UI"/>
      <w:sz w:val="18"/>
    </w:rPr>
  </w:style>
  <w:style w:styleId="Style_14" w:type="paragraph">
    <w:name w:val="heading 3"/>
    <w:next w:val="Style_2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Нижний колонтитул Знак"/>
    <w:basedOn w:val="Style_8"/>
    <w:link w:val="Style_15_ch"/>
    <w:rPr>
      <w:rFonts w:ascii="Times New Roman" w:hAnsi="Times New Roman"/>
      <w:sz w:val="28"/>
    </w:rPr>
  </w:style>
  <w:style w:styleId="Style_15_ch" w:type="character">
    <w:name w:val="Нижний колонтитул Знак"/>
    <w:basedOn w:val="Style_8_ch"/>
    <w:link w:val="Style_15"/>
    <w:rPr>
      <w:rFonts w:ascii="Times New Roman" w:hAnsi="Times New Roman"/>
      <w:sz w:val="28"/>
    </w:rPr>
  </w:style>
  <w:style w:styleId="Style_16" w:type="paragraph">
    <w:name w:val="List"/>
    <w:basedOn w:val="Style_17"/>
    <w:link w:val="Style_16_ch"/>
  </w:style>
  <w:style w:styleId="Style_16_ch" w:type="character">
    <w:name w:val="List"/>
    <w:basedOn w:val="Style_17_ch"/>
    <w:link w:val="Style_16"/>
  </w:style>
  <w:style w:styleId="Style_18" w:type="paragraph">
    <w:name w:val="Указатель"/>
    <w:basedOn w:val="Style_2"/>
    <w:link w:val="Style_18_ch"/>
  </w:style>
  <w:style w:styleId="Style_18_ch" w:type="character">
    <w:name w:val="Указатель"/>
    <w:basedOn w:val="Style_2_ch"/>
    <w:link w:val="Style_18"/>
  </w:style>
  <w:style w:styleId="Style_19" w:type="paragraph">
    <w:name w:val="Plain Text"/>
    <w:basedOn w:val="Style_2"/>
    <w:link w:val="Style_19_ch"/>
    <w:pPr>
      <w:spacing w:after="0" w:before="0" w:line="240" w:lineRule="auto"/>
      <w:ind/>
    </w:pPr>
    <w:rPr>
      <w:rFonts w:ascii="Calibri" w:hAnsi="Calibri"/>
    </w:rPr>
  </w:style>
  <w:style w:styleId="Style_19_ch" w:type="character">
    <w:name w:val="Plain Text"/>
    <w:basedOn w:val="Style_2_ch"/>
    <w:link w:val="Style_19"/>
    <w:rPr>
      <w:rFonts w:ascii="Calibri" w:hAnsi="Calibri"/>
    </w:rPr>
  </w:style>
  <w:style w:styleId="Style_20" w:type="paragraph">
    <w:name w:val="toc 3"/>
    <w:next w:val="Style_2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ConsPlusTitle"/>
    <w:link w:val="Style_21_ch"/>
    <w:pPr>
      <w:widowControl w:val="0"/>
      <w:spacing w:after="0" w:before="0" w:line="240" w:lineRule="auto"/>
      <w:ind/>
      <w:jc w:val="left"/>
    </w:pPr>
    <w:rPr>
      <w:rFonts w:ascii="Arial" w:hAnsi="Arial"/>
      <w:b w:val="1"/>
      <w:color w:val="000000"/>
      <w:sz w:val="20"/>
    </w:rPr>
  </w:style>
  <w:style w:styleId="Style_21_ch" w:type="character">
    <w:name w:val="ConsPlusTitle"/>
    <w:link w:val="Style_21"/>
    <w:rPr>
      <w:rFonts w:ascii="Arial" w:hAnsi="Arial"/>
      <w:b w:val="1"/>
      <w:color w:val="000000"/>
      <w:sz w:val="20"/>
    </w:rPr>
  </w:style>
  <w:style w:styleId="Style_22" w:type="paragraph">
    <w:name w:val="heading 5"/>
    <w:next w:val="Style_2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next w:val="Style_2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Заголовок"/>
    <w:basedOn w:val="Style_2"/>
    <w:next w:val="Style_17"/>
    <w:link w:val="Style_24_ch"/>
    <w:pPr>
      <w:keepNext w:val="1"/>
      <w:spacing w:after="120" w:before="240"/>
      <w:ind/>
    </w:pPr>
    <w:rPr>
      <w:rFonts w:ascii="Open Sans" w:hAnsi="Open Sans"/>
      <w:sz w:val="28"/>
    </w:rPr>
  </w:style>
  <w:style w:styleId="Style_24_ch" w:type="character">
    <w:name w:val="Заголовок"/>
    <w:basedOn w:val="Style_2_ch"/>
    <w:link w:val="Style_24"/>
    <w:rPr>
      <w:rFonts w:ascii="Open Sans" w:hAnsi="Open Sans"/>
      <w:sz w:val="28"/>
    </w:rPr>
  </w:style>
  <w:style w:styleId="Style_25" w:type="paragraph">
    <w:name w:val="Hyperlink"/>
    <w:basedOn w:val="Style_8"/>
    <w:link w:val="Style_25_ch"/>
    <w:rPr>
      <w:color w:themeColor="hyperlink" w:val="0563C1"/>
      <w:u w:val="single"/>
    </w:rPr>
  </w:style>
  <w:style w:styleId="Style_25_ch" w:type="character">
    <w:name w:val="Hyperlink"/>
    <w:basedOn w:val="Style_8_ch"/>
    <w:link w:val="Style_25"/>
    <w:rPr>
      <w:color w:themeColor="hyperlink" w:val="0563C1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2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0"/>
    </w:rPr>
  </w:style>
  <w:style w:styleId="Style_28_ch" w:type="character">
    <w:name w:val="Header and Footer"/>
    <w:link w:val="Style_28"/>
    <w:rPr>
      <w:rFonts w:ascii="XO Thames" w:hAnsi="XO Thames"/>
      <w:sz w:val="20"/>
    </w:rPr>
  </w:style>
  <w:style w:styleId="Style_29" w:type="paragraph">
    <w:name w:val="toc 9"/>
    <w:next w:val="Style_2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List Paragraph"/>
    <w:basedOn w:val="Style_2"/>
    <w:link w:val="Style_30_ch"/>
    <w:pPr>
      <w:spacing w:after="160" w:before="0"/>
      <w:ind w:firstLine="0" w:left="720"/>
      <w:contextualSpacing w:val="1"/>
    </w:pPr>
  </w:style>
  <w:style w:styleId="Style_30_ch" w:type="character">
    <w:name w:val="List Paragraph"/>
    <w:basedOn w:val="Style_2_ch"/>
    <w:link w:val="Style_30"/>
  </w:style>
  <w:style w:styleId="Style_31" w:type="paragraph">
    <w:name w:val="toc 8"/>
    <w:next w:val="Style_2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Caption"/>
    <w:basedOn w:val="Style_2"/>
    <w:link w:val="Style_32_ch"/>
    <w:pPr>
      <w:spacing w:after="120" w:before="120"/>
      <w:ind/>
    </w:pPr>
    <w:rPr>
      <w:i w:val="1"/>
      <w:sz w:val="24"/>
    </w:rPr>
  </w:style>
  <w:style w:styleId="Style_32_ch" w:type="character">
    <w:name w:val="Caption"/>
    <w:basedOn w:val="Style_2_ch"/>
    <w:link w:val="Style_32"/>
    <w:rPr>
      <w:i w:val="1"/>
      <w:sz w:val="24"/>
    </w:rPr>
  </w:style>
  <w:style w:styleId="Style_33" w:type="paragraph">
    <w:name w:val="toc 5"/>
    <w:next w:val="Style_2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17" w:type="paragraph">
    <w:name w:val="Body Text"/>
    <w:basedOn w:val="Style_2"/>
    <w:link w:val="Style_17_ch"/>
    <w:pPr>
      <w:spacing w:after="140" w:before="0" w:line="276" w:lineRule="auto"/>
      <w:ind/>
    </w:pPr>
  </w:style>
  <w:style w:styleId="Style_17_ch" w:type="character">
    <w:name w:val="Body Text"/>
    <w:basedOn w:val="Style_2_ch"/>
    <w:link w:val="Style_17"/>
  </w:style>
  <w:style w:styleId="Style_34" w:type="paragraph">
    <w:name w:val="Subtitle"/>
    <w:next w:val="Style_2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2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2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next w:val="Style_2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8" w:type="table">
    <w:name w:val="Сетка таблицы3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" w:type="table">
    <w:name w:val="Сетка таблицы1"/>
    <w:basedOn w:val="Style_3"/>
    <w:pPr>
      <w:spacing w:after="0" w:line="240" w:lineRule="auto"/>
      <w:ind/>
    </w:pPr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" w:type="table">
    <w:name w:val="Сетка таблицы4"/>
    <w:basedOn w:val="Style_3"/>
    <w:pPr>
      <w:spacing w:after="0" w:line="240" w:lineRule="auto"/>
      <w:ind/>
    </w:pPr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" w:type="table">
    <w:name w:val="Сетка таблицы2"/>
    <w:basedOn w:val="Style_3"/>
    <w:pPr>
      <w:spacing w:after="0" w:line="240" w:lineRule="auto"/>
      <w:ind/>
    </w:pPr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2024-04-23T04:23:56Z</dcterms:modified>
</cp:coreProperties>
</file>